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body>
    <w:p w:rsidR="005E21B6" w:rsidP="00F6086F" w:rsidRDefault="00F6086F" w14:paraId="2C078E63" w14:textId="0CEB2FAC">
      <w:pPr>
        <w:jc w:val="center"/>
        <w:rPr>
          <w:rFonts w:ascii="Times New Roman" w:hAnsi="Times New Roman" w:cs="Times New Roman"/>
          <w:b/>
          <w:lang w:val="es-MX"/>
        </w:rPr>
      </w:pPr>
      <w:r w:rsidRPr="00F6086F">
        <w:rPr>
          <w:rFonts w:ascii="Times New Roman" w:hAnsi="Times New Roman" w:cs="Times New Roman"/>
          <w:b/>
          <w:lang w:val="es-MX"/>
        </w:rPr>
        <w:t>Resultados de la simulación del Centro Automotriz Portal del Caribe en FlexSim</w:t>
      </w:r>
    </w:p>
    <w:p w:rsidR="00F6086F" w:rsidP="00F6086F" w:rsidRDefault="00F6086F" w14:paraId="5492E001" w14:textId="77777777">
      <w:pPr>
        <w:rPr>
          <w:rFonts w:ascii="Times New Roman" w:hAnsi="Times New Roman" w:cs="Times New Roman"/>
          <w:b/>
          <w:lang w:val="es-MX"/>
        </w:rPr>
      </w:pPr>
    </w:p>
    <w:p w:rsidR="00F6086F" w:rsidP="00F6086F" w:rsidRDefault="00F6086F" w14:paraId="078411EF" w14:textId="52EEB7FF">
      <w:pPr>
        <w:spacing w:line="480" w:lineRule="auto"/>
        <w:ind w:firstLine="720"/>
        <w:jc w:val="both"/>
        <w:rPr>
          <w:rFonts w:ascii="Times New Roman" w:hAnsi="Times New Roman" w:cs="Times New Roman"/>
          <w:lang w:val="es-MX"/>
        </w:rPr>
      </w:pPr>
      <w:r>
        <w:rPr>
          <w:rFonts w:ascii="Times New Roman" w:hAnsi="Times New Roman" w:cs="Times New Roman"/>
          <w:lang w:val="es-MX"/>
        </w:rPr>
        <w:t>Por medio del sistema FlexSim se hizo un análisis de escenarios considerando los aspectos operativos como número de operarios, número de máquinas, tiempos estimados de los procesos, tiempo disponible, etc. Teóricamente, se determinó que sistema podía atender alre</w:t>
      </w:r>
      <w:r w:rsidR="00973C2B">
        <w:rPr>
          <w:rFonts w:ascii="Times New Roman" w:hAnsi="Times New Roman" w:cs="Times New Roman"/>
          <w:lang w:val="es-MX"/>
        </w:rPr>
        <w:t>dedor de 250 vehículos al mes</w:t>
      </w:r>
      <w:r>
        <w:rPr>
          <w:rFonts w:ascii="Times New Roman" w:hAnsi="Times New Roman" w:cs="Times New Roman"/>
          <w:lang w:val="es-MX"/>
        </w:rPr>
        <w:t>, sin embargo, los resultados de los diferentes escenarios arrojaron la siguiente información:</w:t>
      </w:r>
    </w:p>
    <w:p w:rsidR="00807584" w:rsidP="00807584" w:rsidRDefault="00807584" w14:paraId="7D6839C0" w14:textId="256CAD52">
      <w:pPr>
        <w:pStyle w:val="Descripcin"/>
        <w:keepNext w:val="1"/>
        <w:spacing w:line="480" w:lineRule="auto"/>
      </w:pPr>
      <w:r w:rsidRPr="0FC725F3" w:rsidR="00807584">
        <w:rPr>
          <w:rFonts w:ascii="Times New Roman" w:hAnsi="Times New Roman" w:eastAsia="Times New Roman" w:cs="Times New Roman"/>
          <w:b w:val="1"/>
          <w:bCs w:val="1"/>
          <w:i w:val="0"/>
          <w:iCs w:val="0"/>
          <w:color w:val="000000" w:themeColor="text1" w:themeTint="FF" w:themeShade="FF"/>
          <w:sz w:val="24"/>
          <w:szCs w:val="24"/>
          <w:lang w:val="es-CO" w:eastAsia="es-CO"/>
        </w:rPr>
        <w:t xml:space="preserve">Tabla </w:t>
      </w:r>
      <w:r w:rsidRPr="0FC725F3">
        <w:rPr>
          <w:rFonts w:ascii="Times New Roman" w:hAnsi="Times New Roman" w:eastAsia="Times New Roman" w:cs="Times New Roman"/>
          <w:b w:val="1"/>
          <w:bCs w:val="1"/>
          <w:i w:val="0"/>
          <w:iCs w:val="0"/>
          <w:color w:val="000000" w:themeColor="text1" w:themeTint="FF" w:themeShade="FF"/>
          <w:sz w:val="24"/>
          <w:szCs w:val="24"/>
          <w:lang w:val="es-CO" w:eastAsia="es-CO"/>
        </w:rPr>
        <w:fldChar w:fldCharType="begin"/>
      </w:r>
      <w:r w:rsidRPr="0FC725F3">
        <w:rPr>
          <w:rFonts w:ascii="Times New Roman" w:hAnsi="Times New Roman" w:eastAsia="Times New Roman" w:cs="Times New Roman"/>
          <w:b w:val="1"/>
          <w:bCs w:val="1"/>
          <w:i w:val="0"/>
          <w:iCs w:val="0"/>
          <w:color w:val="000000" w:themeColor="text1" w:themeTint="FF" w:themeShade="FF"/>
          <w:sz w:val="24"/>
          <w:szCs w:val="24"/>
          <w:lang w:val="es-CO" w:eastAsia="es-CO"/>
        </w:rPr>
        <w:instrText xml:space="preserve"> SEQ Tabla \* ARABIC </w:instrText>
      </w:r>
      <w:r w:rsidRPr="0FC725F3">
        <w:rPr>
          <w:rFonts w:ascii="Times New Roman" w:hAnsi="Times New Roman" w:eastAsia="Times New Roman" w:cs="Times New Roman"/>
          <w:b w:val="1"/>
          <w:bCs w:val="1"/>
          <w:i w:val="0"/>
          <w:iCs w:val="0"/>
          <w:color w:val="000000" w:themeColor="text1" w:themeTint="FF" w:themeShade="FF"/>
          <w:sz w:val="24"/>
          <w:szCs w:val="24"/>
          <w:lang w:val="es-CO" w:eastAsia="es-CO"/>
        </w:rPr>
        <w:fldChar w:fldCharType="separate"/>
      </w:r>
      <w:r w:rsidRPr="0FC725F3" w:rsidR="00807584">
        <w:rPr>
          <w:rFonts w:ascii="Times New Roman" w:hAnsi="Times New Roman" w:eastAsia="Times New Roman" w:cs="Times New Roman"/>
          <w:b w:val="1"/>
          <w:bCs w:val="1"/>
          <w:i w:val="0"/>
          <w:iCs w:val="0"/>
          <w:color w:val="000000" w:themeColor="text1" w:themeTint="FF" w:themeShade="FF"/>
          <w:sz w:val="24"/>
          <w:szCs w:val="24"/>
          <w:lang w:val="es-CO" w:eastAsia="es-CO"/>
        </w:rPr>
        <w:t>1</w:t>
      </w:r>
      <w:r w:rsidRPr="0FC725F3">
        <w:rPr>
          <w:rFonts w:ascii="Times New Roman" w:hAnsi="Times New Roman" w:eastAsia="Times New Roman" w:cs="Times New Roman"/>
          <w:b w:val="1"/>
          <w:bCs w:val="1"/>
          <w:i w:val="0"/>
          <w:iCs w:val="0"/>
          <w:color w:val="000000" w:themeColor="text1" w:themeTint="FF" w:themeShade="FF"/>
          <w:sz w:val="24"/>
          <w:szCs w:val="24"/>
          <w:lang w:val="es-CO" w:eastAsia="es-CO"/>
        </w:rPr>
        <w:fldChar w:fldCharType="end"/>
      </w:r>
      <w:r>
        <w:br/>
      </w:r>
      <w:r w:rsidRPr="0FC725F3" w:rsidR="00807584">
        <w:rPr>
          <w:rFonts w:ascii="Times New Roman" w:hAnsi="Times New Roman" w:eastAsia="Times New Roman" w:cs="Times New Roman"/>
          <w:color w:val="000000" w:themeColor="text1" w:themeTint="FF" w:themeShade="FF"/>
          <w:sz w:val="24"/>
          <w:szCs w:val="24"/>
          <w:lang w:val="es-CO" w:eastAsia="es-CO"/>
        </w:rPr>
        <w:t xml:space="preserve">Cantidad de vehículos </w:t>
      </w:r>
      <w:r w:rsidRPr="0FC725F3" w:rsidR="00807584">
        <w:rPr>
          <w:rFonts w:ascii="Times New Roman" w:hAnsi="Times New Roman" w:eastAsia="Times New Roman" w:cs="Times New Roman"/>
          <w:color w:val="000000" w:themeColor="text1" w:themeTint="FF" w:themeShade="FF"/>
          <w:sz w:val="24"/>
          <w:szCs w:val="24"/>
          <w:lang w:val="es-CO" w:eastAsia="es-CO"/>
        </w:rPr>
        <w:t>aten</w:t>
      </w:r>
      <w:r w:rsidRPr="0FC725F3" w:rsidR="14081FCD">
        <w:rPr>
          <w:rFonts w:ascii="Times New Roman" w:hAnsi="Times New Roman" w:eastAsia="Times New Roman" w:cs="Times New Roman"/>
          <w:color w:val="000000" w:themeColor="text1" w:themeTint="FF" w:themeShade="FF"/>
          <w:sz w:val="24"/>
          <w:szCs w:val="24"/>
          <w:lang w:val="es-CO" w:eastAsia="es-CO"/>
        </w:rPr>
        <w:t>di</w:t>
      </w:r>
      <w:r w:rsidRPr="0FC725F3" w:rsidR="00807584">
        <w:rPr>
          <w:rFonts w:ascii="Times New Roman" w:hAnsi="Times New Roman" w:eastAsia="Times New Roman" w:cs="Times New Roman"/>
          <w:color w:val="000000" w:themeColor="text1" w:themeTint="FF" w:themeShade="FF"/>
          <w:sz w:val="24"/>
          <w:szCs w:val="24"/>
          <w:lang w:val="es-CO" w:eastAsia="es-CO"/>
        </w:rPr>
        <w:t>dos</w:t>
      </w:r>
      <w:r w:rsidRPr="0FC725F3" w:rsidR="00807584">
        <w:rPr>
          <w:rFonts w:ascii="Times New Roman" w:hAnsi="Times New Roman" w:eastAsia="Times New Roman" w:cs="Times New Roman"/>
          <w:color w:val="000000" w:themeColor="text1" w:themeTint="FF" w:themeShade="FF"/>
          <w:sz w:val="24"/>
          <w:szCs w:val="24"/>
          <w:lang w:val="es-CO" w:eastAsia="es-CO"/>
        </w:rPr>
        <w:t xml:space="preserve"> por tipo de servicio al mes</w:t>
      </w:r>
    </w:p>
    <w:tbl>
      <w:tblPr>
        <w:tblStyle w:val="Tablanormal2"/>
        <w:tblW w:w="9350" w:type="dxa"/>
        <w:tblLook w:val="04A0" w:firstRow="1" w:lastRow="0" w:firstColumn="1" w:lastColumn="0" w:noHBand="0" w:noVBand="1"/>
      </w:tblPr>
      <w:tblGrid>
        <w:gridCol w:w="6374"/>
        <w:gridCol w:w="2976"/>
      </w:tblGrid>
      <w:tr w:rsidRPr="00F6086F" w:rsidR="00F6086F" w:rsidTr="00807584" w14:paraId="6EC1A494" w14:textId="102829D6">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3C3595D3" w14:textId="3A7576CF">
            <w:pPr>
              <w:jc w:val="center"/>
              <w:rPr>
                <w:rFonts w:ascii="Times New Roman" w:hAnsi="Times New Roman" w:eastAsia="Times New Roman" w:cs="Times New Roman"/>
                <w:color w:val="000000"/>
                <w:lang w:val="es-CO" w:eastAsia="es-CO"/>
              </w:rPr>
            </w:pPr>
            <w:r w:rsidRPr="00807584">
              <w:rPr>
                <w:rFonts w:ascii="Times New Roman" w:hAnsi="Times New Roman" w:eastAsia="Times New Roman" w:cs="Times New Roman"/>
                <w:bCs w:val="0"/>
                <w:color w:val="000000"/>
                <w:lang w:val="es-CO" w:eastAsia="es-CO"/>
              </w:rPr>
              <w:t>Servicios</w:t>
            </w:r>
          </w:p>
        </w:tc>
        <w:tc>
          <w:tcPr>
            <w:tcW w:w="2976" w:type="dxa"/>
          </w:tcPr>
          <w:p w:rsidRPr="00807584" w:rsidR="00F6086F" w:rsidP="00F6086F" w:rsidRDefault="00F6086F" w14:paraId="6FD99DED" w14:textId="475BAE8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eastAsia="Times New Roman" w:cs="Times New Roman"/>
                <w:bCs w:val="0"/>
                <w:color w:val="000000"/>
                <w:lang w:val="es-CO" w:eastAsia="es-CO"/>
              </w:rPr>
            </w:pPr>
            <w:r w:rsidRPr="00807584">
              <w:rPr>
                <w:rFonts w:ascii="Times New Roman" w:hAnsi="Times New Roman" w:eastAsia="Times New Roman" w:cs="Times New Roman"/>
                <w:bCs w:val="0"/>
                <w:color w:val="000000"/>
                <w:lang w:val="es-CO" w:eastAsia="es-CO"/>
              </w:rPr>
              <w:t>N° carros atendidos al mes</w:t>
            </w:r>
          </w:p>
        </w:tc>
      </w:tr>
      <w:tr w:rsidRPr="00F6086F" w:rsidR="00F6086F" w:rsidTr="00807584" w14:paraId="75DF4EC5" w14:textId="0A8C8D3B">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15D3B54F"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Mantenimiento y revisón general sin cambio de piezas del sistema de frenos</w:t>
            </w:r>
          </w:p>
        </w:tc>
        <w:tc>
          <w:tcPr>
            <w:tcW w:w="2976" w:type="dxa"/>
            <w:vAlign w:val="center"/>
          </w:tcPr>
          <w:p w:rsidRPr="00F6086F" w:rsidR="00F6086F" w:rsidP="00807584" w:rsidRDefault="00F6086F" w14:paraId="4D12B4EC" w14:textId="345EC10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83</w:t>
            </w:r>
          </w:p>
        </w:tc>
      </w:tr>
      <w:tr w:rsidRPr="00F6086F" w:rsidR="00F6086F" w:rsidTr="00807584" w14:paraId="616DA71B" w14:textId="61B3AD2E">
        <w:trPr>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12DDC8D1"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Mantenimiento y revisón general sin cambio de piezas de la suspensión</w:t>
            </w:r>
          </w:p>
        </w:tc>
        <w:tc>
          <w:tcPr>
            <w:tcW w:w="2976" w:type="dxa"/>
            <w:vAlign w:val="center"/>
          </w:tcPr>
          <w:p w:rsidRPr="00F6086F" w:rsidR="00F6086F" w:rsidP="00807584" w:rsidRDefault="00F6086F" w14:paraId="4507A9AF" w14:textId="321F636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39</w:t>
            </w:r>
          </w:p>
        </w:tc>
      </w:tr>
      <w:tr w:rsidRPr="00F6086F" w:rsidR="00F6086F" w:rsidTr="00807584" w14:paraId="01B4FEEF" w14:textId="52056E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46B0A4F4"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Rectificación de discos o campanas de freno</w:t>
            </w:r>
          </w:p>
        </w:tc>
        <w:tc>
          <w:tcPr>
            <w:tcW w:w="2976" w:type="dxa"/>
            <w:vAlign w:val="center"/>
          </w:tcPr>
          <w:p w:rsidRPr="00F6086F" w:rsidR="00F6086F" w:rsidP="00807584" w:rsidRDefault="00F6086F" w14:paraId="3570BD1F" w14:textId="79358C6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3</w:t>
            </w:r>
          </w:p>
        </w:tc>
      </w:tr>
      <w:tr w:rsidRPr="00F6086F" w:rsidR="00F6086F" w:rsidTr="00807584" w14:paraId="273CA5CC" w14:textId="41142A6C">
        <w:trPr>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17A4C595"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Cambio de discos (Delanteros)</w:t>
            </w:r>
          </w:p>
        </w:tc>
        <w:tc>
          <w:tcPr>
            <w:tcW w:w="2976" w:type="dxa"/>
            <w:vAlign w:val="center"/>
          </w:tcPr>
          <w:p w:rsidRPr="00F6086F" w:rsidR="00F6086F" w:rsidP="00807584" w:rsidRDefault="00F6086F" w14:paraId="3DAC5B1C" w14:textId="165772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4</w:t>
            </w:r>
          </w:p>
        </w:tc>
      </w:tr>
      <w:tr w:rsidRPr="00F6086F" w:rsidR="00F6086F" w:rsidTr="00807584" w14:paraId="179312A1" w14:textId="18300D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5CB14438"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Cambio de tambores o campanas (Traseros)</w:t>
            </w:r>
          </w:p>
        </w:tc>
        <w:tc>
          <w:tcPr>
            <w:tcW w:w="2976" w:type="dxa"/>
            <w:vAlign w:val="center"/>
          </w:tcPr>
          <w:p w:rsidRPr="00F6086F" w:rsidR="00F6086F" w:rsidP="00807584" w:rsidRDefault="00807584" w14:paraId="06920A66" w14:textId="48546F8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3</w:t>
            </w:r>
          </w:p>
        </w:tc>
      </w:tr>
      <w:tr w:rsidRPr="00F6086F" w:rsidR="00F6086F" w:rsidTr="00807584" w14:paraId="762B816E" w14:textId="2BA5965D">
        <w:trPr>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003E6EC1"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Reemplazo de pastillas</w:t>
            </w:r>
          </w:p>
        </w:tc>
        <w:tc>
          <w:tcPr>
            <w:tcW w:w="2976" w:type="dxa"/>
            <w:vAlign w:val="center"/>
          </w:tcPr>
          <w:p w:rsidRPr="00F6086F" w:rsidR="00F6086F" w:rsidP="00807584" w:rsidRDefault="00807584" w14:paraId="0A86472E" w14:textId="6A46A13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12</w:t>
            </w:r>
          </w:p>
        </w:tc>
      </w:tr>
      <w:tr w:rsidRPr="00F6086F" w:rsidR="00F6086F" w:rsidTr="00807584" w14:paraId="7A29454D" w14:textId="5C65579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7E115650"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Cambio de bandas</w:t>
            </w:r>
          </w:p>
        </w:tc>
        <w:tc>
          <w:tcPr>
            <w:tcW w:w="2976" w:type="dxa"/>
            <w:vAlign w:val="center"/>
          </w:tcPr>
          <w:p w:rsidRPr="00F6086F" w:rsidR="00F6086F" w:rsidP="00807584" w:rsidRDefault="00807584" w14:paraId="36DD6E28" w14:textId="32A4D19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1</w:t>
            </w:r>
          </w:p>
        </w:tc>
      </w:tr>
      <w:tr w:rsidRPr="00F6086F" w:rsidR="00F6086F" w:rsidTr="00807584" w14:paraId="758F968E" w14:textId="67D7C082">
        <w:trPr>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1C54A01F"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Cambio de líquido de frenos</w:t>
            </w:r>
          </w:p>
        </w:tc>
        <w:tc>
          <w:tcPr>
            <w:tcW w:w="2976" w:type="dxa"/>
            <w:vAlign w:val="center"/>
          </w:tcPr>
          <w:p w:rsidRPr="00F6086F" w:rsidR="00F6086F" w:rsidP="00807584" w:rsidRDefault="00807584" w14:paraId="5B011C1C" w14:textId="780A6B2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5</w:t>
            </w:r>
          </w:p>
        </w:tc>
      </w:tr>
      <w:tr w:rsidRPr="00F6086F" w:rsidR="00F6086F" w:rsidTr="00807584" w14:paraId="471982C1" w14:textId="54A032B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208FC8DD"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Cambio de piezas menores: cilindros, bombas, graduaciones, resortes, etc.</w:t>
            </w:r>
          </w:p>
        </w:tc>
        <w:tc>
          <w:tcPr>
            <w:tcW w:w="2976" w:type="dxa"/>
            <w:vAlign w:val="center"/>
          </w:tcPr>
          <w:p w:rsidRPr="00F6086F" w:rsidR="00F6086F" w:rsidP="00807584" w:rsidRDefault="00807584" w14:paraId="20C585F2" w14:textId="42BE497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6</w:t>
            </w:r>
          </w:p>
        </w:tc>
      </w:tr>
      <w:tr w:rsidRPr="00F6086F" w:rsidR="00F6086F" w:rsidTr="00807584" w14:paraId="5038C0DC" w14:textId="54B05FFE">
        <w:trPr>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38B9EFFE"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Reemplazo de amortiguadores</w:t>
            </w:r>
          </w:p>
        </w:tc>
        <w:tc>
          <w:tcPr>
            <w:tcW w:w="2976" w:type="dxa"/>
            <w:vAlign w:val="center"/>
          </w:tcPr>
          <w:p w:rsidRPr="00F6086F" w:rsidR="00F6086F" w:rsidP="00807584" w:rsidRDefault="00807584" w14:paraId="0D5F6D44" w14:textId="1915CD1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14</w:t>
            </w:r>
          </w:p>
        </w:tc>
      </w:tr>
      <w:tr w:rsidRPr="00F6086F" w:rsidR="00F6086F" w:rsidTr="00807584" w14:paraId="6963202D" w14:textId="20EF82F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2C4B8CBE"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Cambio de muelles</w:t>
            </w:r>
          </w:p>
        </w:tc>
        <w:tc>
          <w:tcPr>
            <w:tcW w:w="2976" w:type="dxa"/>
            <w:vAlign w:val="center"/>
          </w:tcPr>
          <w:p w:rsidRPr="00F6086F" w:rsidR="00F6086F" w:rsidP="00807584" w:rsidRDefault="00807584" w14:paraId="1F7F756D" w14:textId="7469202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3</w:t>
            </w:r>
          </w:p>
        </w:tc>
      </w:tr>
      <w:tr w:rsidRPr="00F6086F" w:rsidR="00F6086F" w:rsidTr="00807584" w14:paraId="28476ED3" w14:textId="77C8A592">
        <w:trPr>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1AD63F4F"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Cambio de barra estabilizadora o de torción</w:t>
            </w:r>
          </w:p>
        </w:tc>
        <w:tc>
          <w:tcPr>
            <w:tcW w:w="2976" w:type="dxa"/>
            <w:vAlign w:val="center"/>
          </w:tcPr>
          <w:p w:rsidRPr="00F6086F" w:rsidR="00F6086F" w:rsidP="00807584" w:rsidRDefault="00807584" w14:paraId="6784BD1C" w14:textId="00025DB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1</w:t>
            </w:r>
          </w:p>
        </w:tc>
      </w:tr>
      <w:tr w:rsidRPr="00F6086F" w:rsidR="00F6086F" w:rsidTr="00807584" w14:paraId="012397CE" w14:textId="6A57CAB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5773662C"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Reemplazo de brazos compensadores</w:t>
            </w:r>
          </w:p>
        </w:tc>
        <w:tc>
          <w:tcPr>
            <w:tcW w:w="2976" w:type="dxa"/>
            <w:vAlign w:val="center"/>
          </w:tcPr>
          <w:p w:rsidRPr="00F6086F" w:rsidR="00F6086F" w:rsidP="00807584" w:rsidRDefault="00807584" w14:paraId="4509A042" w14:textId="75D30E1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3</w:t>
            </w:r>
          </w:p>
        </w:tc>
      </w:tr>
      <w:tr w:rsidRPr="00F6086F" w:rsidR="00F6086F" w:rsidTr="00807584" w14:paraId="45840D8E" w14:textId="1D55D786">
        <w:trPr>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4D8369F0"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Cambio de axiales</w:t>
            </w:r>
          </w:p>
        </w:tc>
        <w:tc>
          <w:tcPr>
            <w:tcW w:w="2976" w:type="dxa"/>
            <w:vAlign w:val="center"/>
          </w:tcPr>
          <w:p w:rsidRPr="00F6086F" w:rsidR="00F6086F" w:rsidP="00807584" w:rsidRDefault="00807584" w14:paraId="0139F777" w14:textId="3CCFD6C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2</w:t>
            </w:r>
          </w:p>
        </w:tc>
      </w:tr>
      <w:tr w:rsidRPr="00F6086F" w:rsidR="00F6086F" w:rsidTr="00807584" w14:paraId="4D629140" w14:textId="27D7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7608DF11"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Cambio de piezas menores: bujes, rótulas, terminales, muñecos estabilizadores, etc.</w:t>
            </w:r>
          </w:p>
        </w:tc>
        <w:tc>
          <w:tcPr>
            <w:tcW w:w="2976" w:type="dxa"/>
            <w:vAlign w:val="center"/>
          </w:tcPr>
          <w:p w:rsidRPr="00F6086F" w:rsidR="00F6086F" w:rsidP="00807584" w:rsidRDefault="00807584" w14:paraId="085E87A8" w14:textId="0C6E887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2</w:t>
            </w:r>
          </w:p>
        </w:tc>
      </w:tr>
      <w:tr w:rsidRPr="00F6086F" w:rsidR="00F6086F" w:rsidTr="00807584" w14:paraId="7F51144C" w14:textId="2D86DDD6">
        <w:trPr>
          <w:trHeight w:val="300"/>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596B2AAD"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Alineación</w:t>
            </w:r>
          </w:p>
        </w:tc>
        <w:tc>
          <w:tcPr>
            <w:tcW w:w="2976" w:type="dxa"/>
            <w:vAlign w:val="center"/>
          </w:tcPr>
          <w:p w:rsidRPr="00F6086F" w:rsidR="00F6086F" w:rsidP="00807584" w:rsidRDefault="00807584" w14:paraId="29F91381" w14:textId="077571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10</w:t>
            </w:r>
          </w:p>
        </w:tc>
      </w:tr>
      <w:tr w:rsidRPr="00F6086F" w:rsidR="00F6086F" w:rsidTr="00807584" w14:paraId="4FD06C30" w14:textId="536DF2E6">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374" w:type="dxa"/>
            <w:noWrap/>
            <w:hideMark/>
          </w:tcPr>
          <w:p w:rsidRPr="00F6086F" w:rsidR="00F6086F" w:rsidP="00F6086F" w:rsidRDefault="00F6086F" w14:paraId="6484A590" w14:textId="77777777">
            <w:pPr>
              <w:rPr>
                <w:rFonts w:ascii="Times New Roman" w:hAnsi="Times New Roman" w:eastAsia="Times New Roman" w:cs="Times New Roman"/>
                <w:b w:val="0"/>
                <w:color w:val="000000"/>
                <w:lang w:val="es-CO" w:eastAsia="es-CO"/>
              </w:rPr>
            </w:pPr>
            <w:r w:rsidRPr="00F6086F">
              <w:rPr>
                <w:rFonts w:ascii="Times New Roman" w:hAnsi="Times New Roman" w:eastAsia="Times New Roman" w:cs="Times New Roman"/>
                <w:b w:val="0"/>
                <w:color w:val="000000"/>
                <w:lang w:val="es-CO" w:eastAsia="es-CO"/>
              </w:rPr>
              <w:t>Balanceo</w:t>
            </w:r>
          </w:p>
        </w:tc>
        <w:tc>
          <w:tcPr>
            <w:tcW w:w="2976" w:type="dxa"/>
            <w:vAlign w:val="center"/>
          </w:tcPr>
          <w:p w:rsidRPr="00F6086F" w:rsidR="00F6086F" w:rsidP="00807584" w:rsidRDefault="00807584" w14:paraId="3C0C3823" w14:textId="3F921CE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19</w:t>
            </w:r>
          </w:p>
        </w:tc>
      </w:tr>
      <w:tr w:rsidRPr="00F6086F" w:rsidR="00807584" w:rsidTr="00807584" w14:paraId="1F65D3CF" w14:textId="77777777">
        <w:trPr>
          <w:trHeight w:val="315"/>
        </w:trPr>
        <w:tc>
          <w:tcPr>
            <w:cnfStyle w:val="001000000000" w:firstRow="0" w:lastRow="0" w:firstColumn="1" w:lastColumn="0" w:oddVBand="0" w:evenVBand="0" w:oddHBand="0" w:evenHBand="0" w:firstRowFirstColumn="0" w:firstRowLastColumn="0" w:lastRowFirstColumn="0" w:lastRowLastColumn="0"/>
            <w:tcW w:w="6374" w:type="dxa"/>
            <w:noWrap/>
          </w:tcPr>
          <w:p w:rsidRPr="00F6086F" w:rsidR="00807584" w:rsidP="00F6086F" w:rsidRDefault="00807584" w14:paraId="2462FC49" w14:textId="06DD9218">
            <w:pPr>
              <w:rPr>
                <w:rFonts w:ascii="Times New Roman" w:hAnsi="Times New Roman" w:eastAsia="Times New Roman" w:cs="Times New Roman"/>
                <w:color w:val="000000"/>
                <w:lang w:val="es-CO" w:eastAsia="es-CO"/>
              </w:rPr>
            </w:pPr>
            <w:r>
              <w:rPr>
                <w:rFonts w:ascii="Times New Roman" w:hAnsi="Times New Roman" w:eastAsia="Times New Roman" w:cs="Times New Roman"/>
                <w:color w:val="000000"/>
                <w:lang w:val="es-CO" w:eastAsia="es-CO"/>
              </w:rPr>
              <w:t>Total</w:t>
            </w:r>
          </w:p>
        </w:tc>
        <w:tc>
          <w:tcPr>
            <w:tcW w:w="2976" w:type="dxa"/>
            <w:vAlign w:val="center"/>
          </w:tcPr>
          <w:p w:rsidRPr="00807584" w:rsidR="00807584" w:rsidP="00807584" w:rsidRDefault="00807584" w14:paraId="04753458" w14:textId="7D3A64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b/>
                <w:color w:val="000000"/>
                <w:lang w:val="es-CO" w:eastAsia="es-CO"/>
              </w:rPr>
            </w:pPr>
            <w:commentRangeStart w:id="0"/>
            <w:r w:rsidRPr="00807584">
              <w:rPr>
                <w:rFonts w:ascii="Times New Roman" w:hAnsi="Times New Roman" w:eastAsia="Times New Roman" w:cs="Times New Roman"/>
                <w:b/>
                <w:color w:val="000000"/>
                <w:lang w:val="es-CO" w:eastAsia="es-CO"/>
              </w:rPr>
              <w:t>210</w:t>
            </w:r>
            <w:commentRangeEnd w:id="0"/>
            <w:r>
              <w:rPr>
                <w:rStyle w:val="Refdecomentario"/>
              </w:rPr>
              <w:commentReference w:id="0"/>
            </w:r>
          </w:p>
        </w:tc>
      </w:tr>
    </w:tbl>
    <w:p w:rsidR="00807584" w:rsidP="00F6086F" w:rsidRDefault="00807584" w14:paraId="175DAD28" w14:textId="77777777">
      <w:pPr>
        <w:spacing w:line="480" w:lineRule="auto"/>
        <w:jc w:val="both"/>
        <w:rPr>
          <w:rFonts w:ascii="Times New Roman" w:hAnsi="Times New Roman" w:cs="Times New Roman"/>
          <w:lang w:val="es-MX"/>
        </w:rPr>
      </w:pPr>
    </w:p>
    <w:p w:rsidRPr="00973C2B" w:rsidR="00973C2B" w:rsidP="00807584" w:rsidRDefault="00180D97" w14:paraId="10E5E700" w14:textId="77777777">
      <w:pPr>
        <w:spacing w:line="480" w:lineRule="auto"/>
        <w:ind w:firstLine="720"/>
        <w:jc w:val="both"/>
        <w:rPr>
          <w:rFonts w:ascii="Times New Roman" w:hAnsi="Times New Roman" w:cs="Times New Roman"/>
          <w:lang w:val="es-MX"/>
        </w:rPr>
      </w:pPr>
      <w:r w:rsidRPr="00973C2B">
        <w:rPr>
          <w:rFonts w:ascii="Times New Roman" w:hAnsi="Times New Roman" w:cs="Times New Roman"/>
          <w:lang w:val="es-MX"/>
        </w:rPr>
        <w:t>En este contexto, la tabla anterior evidencia que la capacidad proyectada del centro de servicio es inferior a la calculada teóricamente con base en la demanda estimada.</w:t>
      </w:r>
    </w:p>
    <w:p w:rsidRPr="00973C2B" w:rsidR="00973C2B" w:rsidP="00973C2B" w:rsidRDefault="00973C2B" w14:paraId="2737D020" w14:textId="5922DC43">
      <w:pPr>
        <w:spacing w:line="480" w:lineRule="auto"/>
        <w:ind w:firstLine="720"/>
        <w:jc w:val="both"/>
        <w:rPr>
          <w:rFonts w:ascii="Times New Roman" w:hAnsi="Times New Roman" w:cs="Times New Roman"/>
          <w:lang w:val="es-MX"/>
        </w:rPr>
      </w:pPr>
      <w:r w:rsidRPr="00973C2B">
        <w:rPr>
          <w:rFonts w:ascii="Times New Roman" w:hAnsi="Times New Roman" w:cs="Times New Roman"/>
          <w:lang w:val="es-MX"/>
        </w:rPr>
        <w:t>Adicionalmente, se evaluó la ocupación de cada máquina con el objetivo de validar la relevancia relativa de cada servicio en comparación con los demás. En la Figura 1 se presentan los resultados obtenidos a partir de la simulación, los cuales permiten analizar el comportamiento y la importancia operativa de cada máquina en el sistema.</w:t>
      </w:r>
      <w:r w:rsidRPr="00973C2B">
        <w:rPr>
          <w:rFonts w:ascii="Times New Roman" w:hAnsi="Times New Roman" w:eastAsia="Times New Roman" w:cs="Times New Roman"/>
          <w:bCs/>
          <w:color w:val="000000"/>
          <w:lang w:val="es-CO" w:eastAsia="es-CO"/>
        </w:rPr>
        <w:t xml:space="preserve"> </w:t>
      </w:r>
    </w:p>
    <w:p w:rsidRPr="00973C2B" w:rsidR="00973C2B" w:rsidP="00973C2B" w:rsidRDefault="00973C2B" w14:paraId="23382DF9" w14:textId="0E727C9A">
      <w:pPr>
        <w:pStyle w:val="Descripcin"/>
        <w:keepNext/>
        <w:spacing w:line="480" w:lineRule="auto"/>
        <w:rPr>
          <w:rFonts w:ascii="Times New Roman" w:hAnsi="Times New Roman" w:eastAsia="Times New Roman" w:cs="Times New Roman"/>
          <w:b/>
          <w:bCs/>
          <w:i w:val="0"/>
          <w:iCs w:val="0"/>
          <w:color w:val="000000"/>
          <w:sz w:val="24"/>
          <w:szCs w:val="24"/>
          <w:lang w:val="es-CO" w:eastAsia="es-CO"/>
        </w:rPr>
      </w:pPr>
      <w:r w:rsidRPr="00973C2B">
        <w:rPr>
          <w:rFonts w:ascii="Times New Roman" w:hAnsi="Times New Roman" w:eastAsia="Times New Roman" w:cs="Times New Roman"/>
          <w:b/>
          <w:bCs/>
          <w:i w:val="0"/>
          <w:iCs w:val="0"/>
          <w:color w:val="000000"/>
          <w:sz w:val="24"/>
          <w:szCs w:val="24"/>
          <w:lang w:val="es-CO" w:eastAsia="es-CO"/>
        </w:rPr>
        <w:t xml:space="preserve">Figura </w:t>
      </w:r>
      <w:r w:rsidRPr="00973C2B">
        <w:rPr>
          <w:rFonts w:ascii="Times New Roman" w:hAnsi="Times New Roman" w:eastAsia="Times New Roman" w:cs="Times New Roman"/>
          <w:b/>
          <w:bCs/>
          <w:i w:val="0"/>
          <w:iCs w:val="0"/>
          <w:color w:val="000000"/>
          <w:sz w:val="24"/>
          <w:szCs w:val="24"/>
          <w:lang w:val="es-CO" w:eastAsia="es-CO"/>
        </w:rPr>
        <w:fldChar w:fldCharType="begin"/>
      </w:r>
      <w:r w:rsidRPr="00973C2B">
        <w:rPr>
          <w:rFonts w:ascii="Times New Roman" w:hAnsi="Times New Roman" w:eastAsia="Times New Roman" w:cs="Times New Roman"/>
          <w:b/>
          <w:bCs/>
          <w:i w:val="0"/>
          <w:iCs w:val="0"/>
          <w:color w:val="000000"/>
          <w:sz w:val="24"/>
          <w:szCs w:val="24"/>
          <w:lang w:val="es-CO" w:eastAsia="es-CO"/>
        </w:rPr>
        <w:instrText xml:space="preserve"> SEQ Figura \* ARABIC </w:instrText>
      </w:r>
      <w:r w:rsidRPr="00973C2B">
        <w:rPr>
          <w:rFonts w:ascii="Times New Roman" w:hAnsi="Times New Roman" w:eastAsia="Times New Roman" w:cs="Times New Roman"/>
          <w:b/>
          <w:bCs/>
          <w:i w:val="0"/>
          <w:iCs w:val="0"/>
          <w:color w:val="000000"/>
          <w:sz w:val="24"/>
          <w:szCs w:val="24"/>
          <w:lang w:val="es-CO" w:eastAsia="es-CO"/>
        </w:rPr>
        <w:fldChar w:fldCharType="separate"/>
      </w:r>
      <w:r w:rsidRPr="00973C2B">
        <w:rPr>
          <w:rFonts w:ascii="Times New Roman" w:hAnsi="Times New Roman" w:eastAsia="Times New Roman" w:cs="Times New Roman"/>
          <w:b/>
          <w:bCs/>
          <w:i w:val="0"/>
          <w:iCs w:val="0"/>
          <w:color w:val="000000"/>
          <w:sz w:val="24"/>
          <w:szCs w:val="24"/>
          <w:lang w:val="es-CO" w:eastAsia="es-CO"/>
        </w:rPr>
        <w:t>1</w:t>
      </w:r>
      <w:r w:rsidRPr="00973C2B">
        <w:rPr>
          <w:rFonts w:ascii="Times New Roman" w:hAnsi="Times New Roman" w:eastAsia="Times New Roman" w:cs="Times New Roman"/>
          <w:b/>
          <w:bCs/>
          <w:i w:val="0"/>
          <w:iCs w:val="0"/>
          <w:color w:val="000000"/>
          <w:sz w:val="24"/>
          <w:szCs w:val="24"/>
          <w:lang w:val="es-CO" w:eastAsia="es-CO"/>
        </w:rPr>
        <w:fldChar w:fldCharType="end"/>
      </w:r>
      <w:r w:rsidRPr="00973C2B">
        <w:rPr>
          <w:rFonts w:ascii="Times New Roman" w:hAnsi="Times New Roman" w:eastAsia="Times New Roman" w:cs="Times New Roman"/>
          <w:b/>
          <w:bCs/>
          <w:i w:val="0"/>
          <w:iCs w:val="0"/>
          <w:color w:val="000000"/>
          <w:sz w:val="24"/>
          <w:szCs w:val="24"/>
          <w:lang w:val="es-CO" w:eastAsia="es-CO"/>
        </w:rPr>
        <w:br/>
      </w:r>
      <w:r w:rsidRPr="00973C2B">
        <w:rPr>
          <w:rFonts w:ascii="Times New Roman" w:hAnsi="Times New Roman" w:eastAsia="Times New Roman" w:cs="Times New Roman"/>
          <w:bCs/>
          <w:iCs w:val="0"/>
          <w:color w:val="000000"/>
          <w:sz w:val="24"/>
          <w:szCs w:val="24"/>
          <w:lang w:val="es-CO" w:eastAsia="es-CO"/>
        </w:rPr>
        <w:t>Porcentaje de opcupacion por maquina</w:t>
      </w:r>
    </w:p>
    <w:p w:rsidR="00807584" w:rsidP="00973C2B" w:rsidRDefault="00807584" w14:paraId="68EE12C3" w14:textId="2EB5A75D">
      <w:pPr>
        <w:spacing w:line="480" w:lineRule="auto"/>
        <w:jc w:val="both"/>
        <w:rPr>
          <w:rFonts w:ascii="Times New Roman" w:hAnsi="Times New Roman" w:cs="Times New Roman"/>
          <w:lang w:val="es-MX"/>
        </w:rPr>
      </w:pPr>
      <w:r w:rsidRPr="00807584">
        <w:rPr>
          <w:rFonts w:ascii="Times New Roman" w:hAnsi="Times New Roman" w:cs="Times New Roman"/>
          <w:lang w:val="es-MX"/>
        </w:rPr>
        <w:drawing>
          <wp:inline distT="0" distB="0" distL="0" distR="0" wp14:anchorId="05E77B89" wp14:editId="5A409CBF">
            <wp:extent cx="5943600" cy="309435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094355"/>
                    </a:xfrm>
                    <a:prstGeom prst="rect">
                      <a:avLst/>
                    </a:prstGeom>
                  </pic:spPr>
                </pic:pic>
              </a:graphicData>
            </a:graphic>
          </wp:inline>
        </w:drawing>
      </w:r>
    </w:p>
    <w:p w:rsidR="00973C2B" w:rsidP="00973C2B" w:rsidRDefault="00973C2B" w14:paraId="04438E45" w14:textId="7273B5CF">
      <w:pPr>
        <w:spacing w:line="480" w:lineRule="auto"/>
        <w:jc w:val="both"/>
        <w:rPr>
          <w:rFonts w:ascii="Times New Roman" w:hAnsi="Times New Roman" w:cs="Times New Roman"/>
          <w:lang w:val="es-MX"/>
        </w:rPr>
      </w:pPr>
      <w:r w:rsidRPr="00973C2B">
        <w:rPr>
          <w:rFonts w:ascii="Times New Roman" w:hAnsi="Times New Roman" w:cs="Times New Roman"/>
          <w:i/>
          <w:lang w:val="es-MX"/>
        </w:rPr>
        <w:t>Nota.</w:t>
      </w:r>
      <w:r>
        <w:rPr>
          <w:rFonts w:ascii="Times New Roman" w:hAnsi="Times New Roman" w:cs="Times New Roman"/>
          <w:lang w:val="es-MX"/>
        </w:rPr>
        <w:t xml:space="preserve"> Tomado de Performance Measure Results en FlexSim.</w:t>
      </w:r>
    </w:p>
    <w:p w:rsidRPr="00F6086F" w:rsidR="00F6086F" w:rsidP="00F6086F" w:rsidRDefault="00973C2B" w14:paraId="79DC5827" w14:textId="5A8FAD4B">
      <w:pPr>
        <w:spacing w:line="480" w:lineRule="auto"/>
        <w:ind w:firstLine="720"/>
        <w:jc w:val="both"/>
        <w:rPr>
          <w:b/>
          <w:lang w:val="es-MX"/>
        </w:rPr>
      </w:pPr>
      <w:r w:rsidRPr="00973C2B">
        <w:rPr>
          <w:rFonts w:ascii="Times New Roman" w:hAnsi="Times New Roman" w:cs="Times New Roman"/>
          <w:lang w:val="es-MX"/>
        </w:rPr>
        <w:t>A partir de los porcentajes obtenidos, se determinó que las áreas de Frenos y Suspensión presentan los mayores niveles de utilización, lo que las posiciona como posibles cuellos de botella si las reparaciones no se gestionan de manera eficiente. En contraste, el área de Rectificado muestra una ocupación significativamente baja, lo que sugiere que podría ser una estrategia viable reemplazar esta área por una bahía adicional dedicada a los frenos, optimizando así la capacidad del sistema.</w:t>
      </w:r>
      <w:bookmarkStart w:name="_GoBack" w:id="1"/>
      <w:bookmarkEnd w:id="1"/>
    </w:p>
    <w:sectPr w:rsidRPr="00F6086F" w:rsidR="00F6086F">
      <w:pgSz w:w="12240" w:h="15840"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nitials="MC" w:author="MARIA CLAVIJO" w:date="2025-01-16T20:47:00Z" w:id="0">
    <w:p w:rsidR="00807584" w:rsidRDefault="00807584" w14:paraId="5BD5BB5B" w14:textId="3181811B">
      <w:pPr>
        <w:pStyle w:val="Textocomentario"/>
      </w:pPr>
      <w:r>
        <w:rPr>
          <w:rStyle w:val="Refdecomentario"/>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D5BB5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CLAVIJO">
    <w15:presenceInfo w15:providerId="None" w15:userId="MARIA CLAVI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val="false"/>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4194D8"/>
    <w:rsid w:val="00180D97"/>
    <w:rsid w:val="005E21B6"/>
    <w:rsid w:val="00784E88"/>
    <w:rsid w:val="00807584"/>
    <w:rsid w:val="00973C2B"/>
    <w:rsid w:val="00F6086F"/>
    <w:rsid w:val="0FC725F3"/>
    <w:rsid w:val="14081FCD"/>
    <w:rsid w:val="5B419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194D8"/>
  <w15:chartTrackingRefBased/>
  <w15:docId w15:val="{F904FD2A-5D38-4008-9764-FF8B59FD0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Ttulo1">
    <w:name w:val="heading 1"/>
    <w:basedOn w:val="Normal"/>
    <w:next w:val="Normal"/>
    <w:link w:val="Ttulo1C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unhideWhenUsed/>
    <w:qFormat/>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unhideWhenUsed/>
    <w:qFormat/>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rPr>
      <w:rFonts w:eastAsiaTheme="majorEastAsia" w:cstheme="majorBidi"/>
      <w:color w:val="0F4761" w:themeColor="accent1" w:themeShade="BF"/>
    </w:rPr>
  </w:style>
  <w:style w:type="character" w:styleId="Ttulo6Car" w:customStyle="1">
    <w:name w:val="Título 6 Car"/>
    <w:basedOn w:val="Fuentedeprrafopredeter"/>
    <w:link w:val="Ttulo6"/>
    <w:uiPriority w:val="9"/>
    <w:rPr>
      <w:rFonts w:eastAsiaTheme="majorEastAsia" w:cstheme="majorBidi"/>
      <w:i/>
      <w:iCs/>
      <w:color w:val="595959" w:themeColor="text1" w:themeTint="A6"/>
    </w:rPr>
  </w:style>
  <w:style w:type="character" w:styleId="Ttulo7Car" w:customStyle="1">
    <w:name w:val="Título 7 Car"/>
    <w:basedOn w:val="Fuentedeprrafopredeter"/>
    <w:link w:val="Ttulo7"/>
    <w:uiPriority w:val="9"/>
    <w:rPr>
      <w:rFonts w:eastAsiaTheme="majorEastAsia" w:cstheme="majorBidi"/>
      <w:color w:val="595959" w:themeColor="text1" w:themeTint="A6"/>
    </w:rPr>
  </w:style>
  <w:style w:type="character" w:styleId="Ttulo8Car" w:customStyle="1">
    <w:name w:val="Título 8 Car"/>
    <w:basedOn w:val="Fuentedeprrafopredeter"/>
    <w:link w:val="Ttulo8"/>
    <w:uiPriority w:val="9"/>
    <w:rPr>
      <w:rFonts w:eastAsiaTheme="majorEastAsia" w:cstheme="majorBidi"/>
      <w:i/>
      <w:iCs/>
      <w:color w:val="272727" w:themeColor="text1" w:themeTint="D8"/>
    </w:rPr>
  </w:style>
  <w:style w:type="character" w:styleId="Ttulo9Car" w:customStyle="1">
    <w:name w:val="Título 9 Car"/>
    <w:basedOn w:val="Fuentedeprrafopredeter"/>
    <w:link w:val="Ttulo9"/>
    <w:uiPriority w:val="9"/>
    <w:rPr>
      <w:rFonts w:eastAsiaTheme="majorEastAsia" w:cstheme="majorBidi"/>
      <w:color w:val="272727" w:themeColor="text1" w:themeTint="D8"/>
    </w:rPr>
  </w:style>
  <w:style w:type="character" w:styleId="PuestoCar" w:customStyle="1">
    <w:name w:val="Puesto Car"/>
    <w:basedOn w:val="Fuentedeprrafopredeter"/>
    <w:link w:val="Puesto"/>
    <w:uiPriority w:val="10"/>
    <w:rPr>
      <w:rFonts w:asciiTheme="majorHAnsi" w:hAnsiTheme="majorHAnsi" w:eastAsiaTheme="majorEastAsia" w:cstheme="majorBidi"/>
      <w:spacing w:val="-10"/>
      <w:kern w:val="28"/>
      <w:sz w:val="56"/>
      <w:szCs w:val="56"/>
    </w:rPr>
  </w:style>
  <w:style w:type="paragraph" w:styleId="Puesto">
    <w:name w:val="Title"/>
    <w:basedOn w:val="Normal"/>
    <w:next w:val="Normal"/>
    <w:link w:val="PuestoC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tuloCar" w:customStyle="1">
    <w:name w:val="Subtítulo Car"/>
    <w:basedOn w:val="Fuentedeprrafopredeter"/>
    <w:link w:val="Subttulo"/>
    <w:uiPriority w:val="11"/>
    <w:rPr>
      <w:rFonts w:eastAsiaTheme="majorEastAsia" w:cstheme="majorBidi"/>
      <w:color w:val="595959" w:themeColor="text1" w:themeTint="A6"/>
      <w:spacing w:val="15"/>
      <w:sz w:val="28"/>
      <w:szCs w:val="28"/>
    </w:rPr>
  </w:style>
  <w:style w:type="paragraph" w:styleId="Subttulo">
    <w:name w:val="Subtitle"/>
    <w:basedOn w:val="Normal"/>
    <w:next w:val="Normal"/>
    <w:link w:val="SubttuloCar"/>
    <w:uiPriority w:val="11"/>
    <w:qFormat/>
    <w:pPr>
      <w:numPr>
        <w:ilvl w:val="1"/>
      </w:numPr>
    </w:pPr>
    <w:rPr>
      <w:rFonts w:eastAsiaTheme="majorEastAsia" w:cstheme="majorBidi"/>
      <w:color w:val="595959" w:themeColor="text1" w:themeTint="A6"/>
      <w:spacing w:val="15"/>
      <w:sz w:val="28"/>
      <w:szCs w:val="28"/>
    </w:rPr>
  </w:style>
  <w:style w:type="character" w:styleId="nfasisintenso">
    <w:name w:val="Intense Emphasis"/>
    <w:basedOn w:val="Fuentedeprrafopredeter"/>
    <w:uiPriority w:val="21"/>
    <w:qFormat/>
    <w:rPr>
      <w:i/>
      <w:iCs/>
      <w:color w:val="0F4761" w:themeColor="accent1" w:themeShade="BF"/>
    </w:rPr>
  </w:style>
  <w:style w:type="character" w:styleId="CitaCar" w:customStyle="1">
    <w:name w:val="Cita Car"/>
    <w:basedOn w:val="Fuentedeprrafopredeter"/>
    <w:link w:val="Cita"/>
    <w:uiPriority w:val="29"/>
    <w:rPr>
      <w:i/>
      <w:iCs/>
      <w:color w:val="404040" w:themeColor="text1" w:themeTint="BF"/>
    </w:rPr>
  </w:style>
  <w:style w:type="paragraph" w:styleId="Cita">
    <w:name w:val="Quote"/>
    <w:basedOn w:val="Normal"/>
    <w:next w:val="Normal"/>
    <w:link w:val="CitaCar"/>
    <w:uiPriority w:val="29"/>
    <w:qFormat/>
    <w:pPr>
      <w:spacing w:before="160"/>
      <w:jc w:val="center"/>
    </w:pPr>
    <w:rPr>
      <w:i/>
      <w:iCs/>
      <w:color w:val="404040" w:themeColor="text1" w:themeTint="BF"/>
    </w:rPr>
  </w:style>
  <w:style w:type="character" w:styleId="CitadestacadaCar" w:customStyle="1">
    <w:name w:val="Cita destacada Car"/>
    <w:basedOn w:val="Fuentedeprrafopredeter"/>
    <w:link w:val="Citadestacada"/>
    <w:uiPriority w:val="30"/>
    <w:rPr>
      <w:i/>
      <w:iCs/>
      <w:color w:val="0F4761" w:themeColor="accent1" w:themeShade="BF"/>
    </w:rPr>
  </w:style>
  <w:style w:type="paragraph" w:styleId="Citadestacada">
    <w:name w:val="Intense Quote"/>
    <w:basedOn w:val="Normal"/>
    <w:next w:val="Normal"/>
    <w:link w:val="CitadestacadaC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Referenciaintensa">
    <w:name w:val="Intense Reference"/>
    <w:basedOn w:val="Fuentedeprrafopredeter"/>
    <w:uiPriority w:val="32"/>
    <w:qFormat/>
    <w:rPr>
      <w:b/>
      <w:bCs/>
      <w:smallCaps/>
      <w:color w:val="0F4761" w:themeColor="accent1" w:themeShade="BF"/>
      <w:spacing w:val="5"/>
    </w:rPr>
  </w:style>
  <w:style w:type="table" w:styleId="Tablanormal2">
    <w:name w:val="Plain Table 2"/>
    <w:basedOn w:val="Tablanormal"/>
    <w:uiPriority w:val="42"/>
    <w:rsid w:val="00807584"/>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character" w:styleId="Refdecomentario">
    <w:name w:val="annotation reference"/>
    <w:basedOn w:val="Fuentedeprrafopredeter"/>
    <w:uiPriority w:val="99"/>
    <w:semiHidden/>
    <w:unhideWhenUsed/>
    <w:rsid w:val="00807584"/>
    <w:rPr>
      <w:sz w:val="16"/>
      <w:szCs w:val="16"/>
    </w:rPr>
  </w:style>
  <w:style w:type="paragraph" w:styleId="Textocomentario">
    <w:name w:val="annotation text"/>
    <w:basedOn w:val="Normal"/>
    <w:link w:val="TextocomentarioCar"/>
    <w:uiPriority w:val="99"/>
    <w:semiHidden/>
    <w:unhideWhenUsed/>
    <w:rsid w:val="00807584"/>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807584"/>
    <w:rPr>
      <w:sz w:val="20"/>
      <w:szCs w:val="20"/>
    </w:rPr>
  </w:style>
  <w:style w:type="paragraph" w:styleId="Asuntodelcomentario">
    <w:name w:val="annotation subject"/>
    <w:basedOn w:val="Textocomentario"/>
    <w:next w:val="Textocomentario"/>
    <w:link w:val="AsuntodelcomentarioCar"/>
    <w:uiPriority w:val="99"/>
    <w:semiHidden/>
    <w:unhideWhenUsed/>
    <w:rsid w:val="00807584"/>
    <w:rPr>
      <w:b/>
      <w:bCs/>
    </w:rPr>
  </w:style>
  <w:style w:type="character" w:styleId="AsuntodelcomentarioCar" w:customStyle="1">
    <w:name w:val="Asunto del comentario Car"/>
    <w:basedOn w:val="TextocomentarioCar"/>
    <w:link w:val="Asuntodelcomentario"/>
    <w:uiPriority w:val="99"/>
    <w:semiHidden/>
    <w:rsid w:val="00807584"/>
    <w:rPr>
      <w:b/>
      <w:bCs/>
      <w:sz w:val="20"/>
      <w:szCs w:val="20"/>
    </w:rPr>
  </w:style>
  <w:style w:type="paragraph" w:styleId="Textodeglobo">
    <w:name w:val="Balloon Text"/>
    <w:basedOn w:val="Normal"/>
    <w:link w:val="TextodegloboCar"/>
    <w:uiPriority w:val="99"/>
    <w:semiHidden/>
    <w:unhideWhenUsed/>
    <w:rsid w:val="00807584"/>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807584"/>
    <w:rPr>
      <w:rFonts w:ascii="Segoe UI" w:hAnsi="Segoe UI" w:cs="Segoe UI"/>
      <w:sz w:val="18"/>
      <w:szCs w:val="18"/>
    </w:rPr>
  </w:style>
  <w:style w:type="paragraph" w:styleId="Descripcin">
    <w:name w:val="caption"/>
    <w:basedOn w:val="Normal"/>
    <w:next w:val="Normal"/>
    <w:uiPriority w:val="35"/>
    <w:unhideWhenUsed/>
    <w:qFormat/>
    <w:rsid w:val="00807584"/>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36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MARIA CLAVIJO</dc:creator>
  <keywords/>
  <dc:description/>
  <lastModifiedBy>MARIA CLAVIJO</lastModifiedBy>
  <revision>4</revision>
  <dcterms:created xsi:type="dcterms:W3CDTF">2025-01-17T01:13:00.0000000Z</dcterms:created>
  <dcterms:modified xsi:type="dcterms:W3CDTF">2025-01-20T19:54:19.5310349Z</dcterms:modified>
</coreProperties>
</file>